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AB0EE8" w:rsidRDefault="00A1196B" w:rsidP="00A1196B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</w:p>
    <w:p w14:paraId="42733C90" w14:textId="3A2E80DA" w:rsidR="005C57A5" w:rsidRPr="00AB0EE8" w:rsidRDefault="00B32A22" w:rsidP="005C57A5">
      <w:pPr>
        <w:pStyle w:val="Nadpis1"/>
        <w:rPr>
          <w:rFonts w:cs="Arial"/>
          <w:color w:val="222222"/>
          <w:sz w:val="36"/>
          <w:szCs w:val="36"/>
          <w:lang w:val="sk-SK"/>
        </w:rPr>
      </w:pPr>
      <w:r>
        <w:rPr>
          <w:rFonts w:cs="Arial"/>
          <w:color w:val="222222"/>
          <w:sz w:val="36"/>
          <w:szCs w:val="36"/>
          <w:lang w:val="sk-SK"/>
        </w:rPr>
        <w:t>Spoločnosť DACHSER uvádza do prevádzky svoje prvé vodíkové vozidlá</w:t>
      </w:r>
    </w:p>
    <w:p w14:paraId="3BF6C2DE" w14:textId="6668A9BD" w:rsidR="00B32A22" w:rsidRPr="00AB0EE8" w:rsidRDefault="00B32A22" w:rsidP="00FB0A7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32A22">
        <w:rPr>
          <w:rFonts w:ascii="Arial" w:hAnsi="Arial" w:cs="Arial"/>
          <w:b/>
          <w:bCs/>
          <w:color w:val="222222"/>
          <w:lang w:val="sk-SK"/>
        </w:rPr>
        <w:t>Spoločnosť DACHSER pokračuje v praktických testoch technológií pohonu nákladných vozidiel bez emisií. V roku 2023 plánuje v Nemecku uviesť do prevádzky dve nákladné vozidlá s vodíkovými palivovými článkami (FCEV).</w:t>
      </w:r>
    </w:p>
    <w:p w14:paraId="4E077732" w14:textId="6BE27751" w:rsidR="00A94603" w:rsidRDefault="00A94603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A94603">
        <w:rPr>
          <w:rFonts w:ascii="Arial" w:hAnsi="Arial" w:cs="Arial"/>
          <w:color w:val="222222"/>
          <w:sz w:val="22"/>
          <w:szCs w:val="22"/>
        </w:rPr>
        <w:t xml:space="preserve">Poskytovateľ logistických služieb uvedie budúci rok v nemeckom Magdeburgu do prevádzky 27-tonový nákladný automobil Hyundai </w:t>
      </w:r>
      <w:proofErr w:type="spellStart"/>
      <w:r w:rsidRPr="00A94603">
        <w:rPr>
          <w:rFonts w:ascii="Arial" w:hAnsi="Arial" w:cs="Arial"/>
          <w:color w:val="222222"/>
          <w:sz w:val="22"/>
          <w:szCs w:val="22"/>
        </w:rPr>
        <w:t>Xcient</w:t>
      </w:r>
      <w:proofErr w:type="spellEnd"/>
      <w:r w:rsidRPr="00A94603">
        <w:rPr>
          <w:rFonts w:ascii="Arial" w:hAnsi="Arial" w:cs="Arial"/>
          <w:color w:val="222222"/>
          <w:sz w:val="22"/>
          <w:szCs w:val="22"/>
        </w:rPr>
        <w:t xml:space="preserve">. Nákladné vozidlo s nulovými emisiami bude využívané na distribúciu v regiónoch a tiež na prepravu pravidelnou nočnou linkou smerujúcou do Berlína. Ďalšie nákladné vozidlo poháňané vodíkovými palivovými článkami – 19-tonový </w:t>
      </w:r>
      <w:proofErr w:type="spellStart"/>
      <w:r w:rsidRPr="00A94603">
        <w:rPr>
          <w:rFonts w:ascii="Arial" w:hAnsi="Arial" w:cs="Arial"/>
          <w:color w:val="222222"/>
          <w:sz w:val="22"/>
          <w:szCs w:val="22"/>
        </w:rPr>
        <w:t>Enginius</w:t>
      </w:r>
      <w:proofErr w:type="spellEnd"/>
      <w:r w:rsidRPr="00A946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A94603">
        <w:rPr>
          <w:rFonts w:ascii="Arial" w:hAnsi="Arial" w:cs="Arial"/>
          <w:color w:val="222222"/>
          <w:sz w:val="22"/>
          <w:szCs w:val="22"/>
        </w:rPr>
        <w:t>Bluepower</w:t>
      </w:r>
      <w:proofErr w:type="spellEnd"/>
      <w:r w:rsidRPr="00A94603">
        <w:rPr>
          <w:rFonts w:ascii="Arial" w:hAnsi="Arial" w:cs="Arial"/>
          <w:color w:val="222222"/>
          <w:sz w:val="22"/>
          <w:szCs w:val="22"/>
        </w:rPr>
        <w:t>, začne pre spoločnosť DACHSER zabezpečovať dodávky do centra Hamburgu v polovici roku 2023.</w:t>
      </w:r>
    </w:p>
    <w:p w14:paraId="5BC348C8" w14:textId="77777777" w:rsidR="00FE1297" w:rsidRDefault="00FE1297" w:rsidP="00FE129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36513DE" w14:textId="36C5E3AC" w:rsidR="006E0DE3" w:rsidRPr="0030166B" w:rsidRDefault="006E0DE3" w:rsidP="0030166B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6E0DE3">
        <w:rPr>
          <w:rFonts w:ascii="Arial" w:hAnsi="Arial" w:cs="Arial"/>
          <w:color w:val="222222"/>
          <w:sz w:val="22"/>
          <w:szCs w:val="22"/>
        </w:rPr>
        <w:t xml:space="preserve">V Magdeburgu by mala spoločnosť DACHSER začať s prevádzkou nákladného vozidla Hyundai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Xcient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na vodíkový pohon začiatkom roka 2023. Vozidlo s celkovou prípustnou hmotnosťou 27 ton a 18 paletovými miestami má dojazd až 400 kilometrov, čo znamená, že môže byť používané v dvojzmennej prevádzke. Vozidlo budú riadiť profesionálni vodiči, ktorí tento rok absolvujú školenie v DACHSER. Zatiaľ čo cez deň sa kamión FCEV testuje v rámci regionálnej distribúcie v oblasti Magdeburgu, v noci bude v rámci systémovej prevádzky jazdiť do pobočky spoločnosti DACHSER v Berlíne-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Schönefelde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>. Pre nočnú prevádzku bude vozidlo s nulovými emisiami vybavené tandemovým prívesom s výmennou nadstavbou. V blízkosti oboch pobočiek spoločnosti DACHSER v Magdeburgu a Berlíne budú po nasadení vozidiel k dispozícii zariadenia na doplňovanie vodíkového paliva.</w:t>
      </w:r>
    </w:p>
    <w:p w14:paraId="6A8942E8" w14:textId="77777777" w:rsidR="0030166B" w:rsidRDefault="0030166B" w:rsidP="00FE1297">
      <w:pPr>
        <w:pStyle w:val="Normal1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6B893446" w14:textId="58C7E8FC" w:rsidR="00FE1297" w:rsidRDefault="006E0DE3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6E0DE3">
        <w:rPr>
          <w:rFonts w:ascii="Arial" w:hAnsi="Arial" w:cs="Arial"/>
          <w:color w:val="222222"/>
          <w:sz w:val="22"/>
          <w:szCs w:val="22"/>
        </w:rPr>
        <w:t xml:space="preserve">Zmluvným partnerom spoločnosti DACHSER je v tomto projekte spoločnosť H2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Delivery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Truck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Pool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GmbH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&amp; Co. KG v Magdeburgu. Táto  spoločnosť je súčasťou spoločnosti H2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Green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Power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&amp;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Logistics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GmbH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, ktorá na svojej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roadshow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predstavila úžitkové vozidlá na vodíkový pohon určené pre logistiku. Medzi nimi i nákladné vozidlo Hyundai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Xcient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FCEV, s ktorým koncom roka 2021 navštívila jedenásť nemeckých miest.</w:t>
      </w:r>
    </w:p>
    <w:p w14:paraId="466D7A06" w14:textId="2A5EB586" w:rsidR="00D42F74" w:rsidRPr="003D0721" w:rsidRDefault="00D42F74" w:rsidP="003D0721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>
        <w:br/>
      </w:r>
      <w:r w:rsidR="006E0DE3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V Hamburgu bez emisií</w:t>
      </w:r>
    </w:p>
    <w:p w14:paraId="6D688B36" w14:textId="023E3442" w:rsidR="00FE1297" w:rsidRPr="006E0DE3" w:rsidRDefault="003D0721" w:rsidP="006E0DE3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="006E0DE3" w:rsidRPr="006E0DE3">
        <w:rPr>
          <w:rFonts w:ascii="Arial" w:hAnsi="Arial" w:cs="Arial"/>
          <w:color w:val="222222"/>
          <w:sz w:val="22"/>
          <w:szCs w:val="22"/>
        </w:rPr>
        <w:t xml:space="preserve">V polovici roka 2023 spoločnosť DACHSER zavedie do prevádzky nákladné vozidlo </w:t>
      </w:r>
      <w:proofErr w:type="spellStart"/>
      <w:r w:rsidR="006E0DE3" w:rsidRPr="006E0DE3">
        <w:rPr>
          <w:rFonts w:ascii="Arial" w:hAnsi="Arial" w:cs="Arial"/>
          <w:color w:val="222222"/>
          <w:sz w:val="22"/>
          <w:szCs w:val="22"/>
        </w:rPr>
        <w:t>Bluepower</w:t>
      </w:r>
      <w:proofErr w:type="spellEnd"/>
      <w:r w:rsidR="006E0DE3"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r w:rsidR="006E0DE3" w:rsidRPr="006E0DE3">
        <w:rPr>
          <w:rFonts w:ascii="Arial" w:hAnsi="Arial" w:cs="Arial"/>
          <w:color w:val="222222"/>
          <w:sz w:val="22"/>
          <w:szCs w:val="22"/>
        </w:rPr>
        <w:lastRenderedPageBreak/>
        <w:t xml:space="preserve">1938 FCEV od brémskej spoločnosti </w:t>
      </w:r>
      <w:proofErr w:type="spellStart"/>
      <w:r w:rsidR="006E0DE3" w:rsidRPr="006E0DE3">
        <w:rPr>
          <w:rFonts w:ascii="Arial" w:hAnsi="Arial" w:cs="Arial"/>
          <w:color w:val="222222"/>
          <w:sz w:val="22"/>
          <w:szCs w:val="22"/>
        </w:rPr>
        <w:t>Enginius</w:t>
      </w:r>
      <w:proofErr w:type="spellEnd"/>
      <w:r w:rsidR="006E0DE3" w:rsidRPr="006E0DE3">
        <w:rPr>
          <w:rFonts w:ascii="Arial" w:hAnsi="Arial" w:cs="Arial"/>
          <w:color w:val="222222"/>
          <w:sz w:val="22"/>
          <w:szCs w:val="22"/>
        </w:rPr>
        <w:t xml:space="preserve"> – dcérskej spoločnosti skupiny Faun. Vozidlo bude určené na prepravu do centra Hamburgu. </w:t>
      </w:r>
      <w:proofErr w:type="spellStart"/>
      <w:r w:rsidR="006E0DE3" w:rsidRPr="006E0DE3">
        <w:rPr>
          <w:rFonts w:ascii="Arial" w:hAnsi="Arial" w:cs="Arial"/>
          <w:color w:val="222222"/>
          <w:sz w:val="22"/>
          <w:szCs w:val="22"/>
        </w:rPr>
        <w:t>Bluepower</w:t>
      </w:r>
      <w:proofErr w:type="spellEnd"/>
      <w:r w:rsidR="006E0DE3" w:rsidRPr="006E0DE3">
        <w:rPr>
          <w:rFonts w:ascii="Arial" w:hAnsi="Arial" w:cs="Arial"/>
          <w:color w:val="222222"/>
          <w:sz w:val="22"/>
          <w:szCs w:val="22"/>
        </w:rPr>
        <w:t xml:space="preserve"> 1938 doplní koncept  prepravy bez emisií spoločnosti DACHSER, ktorý sa vyznačuje nulovými lokálnymi emisiami a ktorého spustenie v Hamburgu je naplánované na jeseň 2022. </w:t>
      </w:r>
      <w:proofErr w:type="spellStart"/>
      <w:r w:rsidR="006E0DE3" w:rsidRPr="006E0DE3">
        <w:rPr>
          <w:rFonts w:ascii="Arial" w:hAnsi="Arial" w:cs="Arial"/>
          <w:color w:val="222222"/>
          <w:sz w:val="22"/>
          <w:szCs w:val="22"/>
        </w:rPr>
        <w:t>Bluepower</w:t>
      </w:r>
      <w:proofErr w:type="spellEnd"/>
      <w:r w:rsidR="006E0DE3" w:rsidRPr="006E0DE3">
        <w:rPr>
          <w:rFonts w:ascii="Arial" w:hAnsi="Arial" w:cs="Arial"/>
          <w:color w:val="222222"/>
          <w:sz w:val="22"/>
          <w:szCs w:val="22"/>
        </w:rPr>
        <w:t xml:space="preserve"> 1938 má prípustnú celkovú hmotnosť 19 ton a s pevným skriňovým prívesom môže prepraviť až 18 paliet tovaru. Jeho odhadovaný dojazd – 250 kilometrov plus rezerva, je ideálny pre dodávky do centra mesta a ponúka aj veľmi vysoký potenciál rekuperácie.</w:t>
      </w:r>
    </w:p>
    <w:p w14:paraId="27678319" w14:textId="77777777" w:rsidR="006E0DE3" w:rsidRDefault="006E0DE3" w:rsidP="006E0DE3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046D5C0F" w14:textId="0C2C4526" w:rsidR="00D42F74" w:rsidRDefault="006E0DE3" w:rsidP="00D42F74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565687">
        <w:rPr>
          <w:rFonts w:ascii="Arial" w:hAnsi="Arial" w:cs="Arial"/>
          <w:i/>
          <w:iCs/>
          <w:color w:val="222222"/>
          <w:sz w:val="22"/>
          <w:szCs w:val="22"/>
        </w:rPr>
        <w:t xml:space="preserve">"V rámci štúdie s Univerzitou aplikovaných vied v </w:t>
      </w:r>
      <w:proofErr w:type="spellStart"/>
      <w:r w:rsidRPr="00565687">
        <w:rPr>
          <w:rFonts w:ascii="Arial" w:hAnsi="Arial" w:cs="Arial"/>
          <w:i/>
          <w:iCs/>
          <w:color w:val="222222"/>
          <w:sz w:val="22"/>
          <w:szCs w:val="22"/>
        </w:rPr>
        <w:t>Kemptene</w:t>
      </w:r>
      <w:proofErr w:type="spellEnd"/>
      <w:r w:rsidRPr="00565687">
        <w:rPr>
          <w:rFonts w:ascii="Arial" w:hAnsi="Arial" w:cs="Arial"/>
          <w:i/>
          <w:iCs/>
          <w:color w:val="222222"/>
          <w:sz w:val="22"/>
          <w:szCs w:val="22"/>
        </w:rPr>
        <w:t xml:space="preserve"> sme zistili, že v európskej sieti zberných vozidiel spoločnosti DACHSER existuje značný potenciál pre vodíkové vozidlá,"</w:t>
      </w:r>
      <w:r w:rsidRPr="006E0DE3">
        <w:rPr>
          <w:rFonts w:ascii="Arial" w:hAnsi="Arial" w:cs="Arial"/>
          <w:color w:val="222222"/>
          <w:sz w:val="22"/>
          <w:szCs w:val="22"/>
        </w:rPr>
        <w:t xml:space="preserve"> vysvetľuje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Stefan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Hohm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>, 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Chief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Development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E0DE3">
        <w:rPr>
          <w:rFonts w:ascii="Arial" w:hAnsi="Arial" w:cs="Arial"/>
          <w:color w:val="222222"/>
          <w:sz w:val="22"/>
          <w:szCs w:val="22"/>
        </w:rPr>
        <w:t>Officer</w:t>
      </w:r>
      <w:proofErr w:type="spellEnd"/>
      <w:r w:rsidRPr="006E0DE3">
        <w:rPr>
          <w:rFonts w:ascii="Arial" w:hAnsi="Arial" w:cs="Arial"/>
          <w:color w:val="222222"/>
          <w:sz w:val="22"/>
          <w:szCs w:val="22"/>
        </w:rPr>
        <w:t xml:space="preserve"> (CDO) a člen predstavenstva spoločnosti DACHSER. </w:t>
      </w:r>
      <w:r w:rsidRPr="00565687">
        <w:rPr>
          <w:rFonts w:ascii="Arial" w:hAnsi="Arial" w:cs="Arial"/>
          <w:i/>
          <w:iCs/>
          <w:color w:val="222222"/>
          <w:sz w:val="22"/>
          <w:szCs w:val="22"/>
        </w:rPr>
        <w:t>"Tešíme sa na uvedenie prvých vodíkových nákladných vozidiel do siete DACHSER, pretože tak budeme môcť získať cenné praktické skúsenosti s ich fungovaním."</w:t>
      </w:r>
    </w:p>
    <w:p w14:paraId="19657A68" w14:textId="6515A9B5" w:rsidR="00565687" w:rsidRDefault="00565687" w:rsidP="00D42F74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707BBDF9" w14:textId="16B26832" w:rsidR="006E0DE3" w:rsidRPr="00565687" w:rsidRDefault="00565687" w:rsidP="00D42F74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565687">
        <w:rPr>
          <w:rFonts w:ascii="Arial" w:hAnsi="Arial" w:cs="Arial"/>
          <w:b/>
          <w:bCs/>
          <w:color w:val="222222"/>
          <w:sz w:val="22"/>
          <w:szCs w:val="22"/>
        </w:rPr>
        <w:t xml:space="preserve">O spoločnosti H2 </w:t>
      </w:r>
      <w:proofErr w:type="spellStart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Green</w:t>
      </w:r>
      <w:proofErr w:type="spellEnd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Power</w:t>
      </w:r>
      <w:proofErr w:type="spellEnd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 xml:space="preserve"> &amp; </w:t>
      </w:r>
      <w:proofErr w:type="spellStart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Logistics</w:t>
      </w:r>
      <w:proofErr w:type="spellEnd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GmbH</w:t>
      </w:r>
      <w:proofErr w:type="spellEnd"/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0EEF096A" w14:textId="09F20A22" w:rsidR="00565687" w:rsidRDefault="00565687" w:rsidP="00D42F74">
      <w:pPr>
        <w:pStyle w:val="Normal1"/>
        <w:spacing w:line="360" w:lineRule="auto"/>
        <w:jc w:val="both"/>
      </w:pPr>
      <w:r>
        <w:rPr>
          <w:rFonts w:ascii="Helvetica" w:hAnsi="Helvetica" w:cs="Helvetica"/>
          <w:color w:val="222222"/>
        </w:rPr>
        <w:t xml:space="preserve">Spoločnosť H2 </w:t>
      </w:r>
      <w:proofErr w:type="spellStart"/>
      <w:r>
        <w:rPr>
          <w:rFonts w:ascii="Helvetica" w:hAnsi="Helvetica" w:cs="Helvetica"/>
          <w:color w:val="222222"/>
        </w:rPr>
        <w:t>Green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Power</w:t>
      </w:r>
      <w:proofErr w:type="spellEnd"/>
      <w:r>
        <w:rPr>
          <w:rFonts w:ascii="Helvetica" w:hAnsi="Helvetica" w:cs="Helvetica"/>
          <w:color w:val="222222"/>
        </w:rPr>
        <w:t xml:space="preserve"> &amp; </w:t>
      </w:r>
      <w:proofErr w:type="spellStart"/>
      <w:r>
        <w:rPr>
          <w:rFonts w:ascii="Helvetica" w:hAnsi="Helvetica" w:cs="Helvetica"/>
          <w:color w:val="222222"/>
        </w:rPr>
        <w:t>Logistics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GmbH</w:t>
      </w:r>
      <w:proofErr w:type="spellEnd"/>
      <w:r>
        <w:rPr>
          <w:rFonts w:ascii="Helvetica" w:hAnsi="Helvetica" w:cs="Helvetica"/>
          <w:color w:val="222222"/>
        </w:rPr>
        <w:t xml:space="preserve"> distribuuje zelený vodík rôznymi druhmi distribučných sietí: pozemnými, železničnými, potrubnými, či  vnútrozemskými vodnými cestami. Tento vodík sa vyrába v Magdeburgu elektrolýzou H2 s využitím domácej zelenej elektriny z </w:t>
      </w:r>
      <w:proofErr w:type="spellStart"/>
      <w:r>
        <w:rPr>
          <w:rFonts w:ascii="Helvetica" w:hAnsi="Helvetica" w:cs="Helvetica"/>
          <w:color w:val="222222"/>
        </w:rPr>
        <w:t>fotovoltaiky</w:t>
      </w:r>
      <w:proofErr w:type="spellEnd"/>
      <w:r>
        <w:rPr>
          <w:rFonts w:ascii="Helvetica" w:hAnsi="Helvetica" w:cs="Helvetica"/>
          <w:color w:val="222222"/>
        </w:rPr>
        <w:t>, veternej energie a biomasy. Spoločnosť je jedným z prvých hráčov na trhu, ktorý poskytuje kompletný ekosystém pre zelený vodík v oblasti mobility úžitkových vozidiel bez emisií CO2, a to buď formou platby za použitie vozidla, alebo jeho predaja v rámci distribučnej siete. Spoločnosť plánuje do budúcna poskytovať svoje služby aj veľkým stabilným zákazníkom. </w:t>
      </w:r>
      <w:hyperlink r:id="rId8" w:history="1">
        <w:r>
          <w:rPr>
            <w:rStyle w:val="Hypertextovodkaz"/>
            <w:rFonts w:ascii="Helvetica" w:eastAsiaTheme="majorEastAsia" w:hAnsi="Helvetica" w:cs="Helvetica"/>
            <w:color w:val="1A3682"/>
          </w:rPr>
          <w:t>https://www.h2greenpowerlog.de/</w:t>
        </w:r>
      </w:hyperlink>
    </w:p>
    <w:p w14:paraId="257B6DD4" w14:textId="752000BD" w:rsidR="00565687" w:rsidRDefault="00565687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2FB6F661" w14:textId="1916B1DF" w:rsidR="00565687" w:rsidRPr="00565687" w:rsidRDefault="00565687" w:rsidP="00565687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565687">
        <w:rPr>
          <w:rFonts w:ascii="Arial" w:hAnsi="Arial" w:cs="Arial"/>
          <w:b/>
          <w:bCs/>
          <w:color w:val="222222"/>
          <w:sz w:val="22"/>
          <w:szCs w:val="22"/>
        </w:rPr>
        <w:t>O</w:t>
      </w:r>
      <w:r>
        <w:rPr>
          <w:rFonts w:ascii="Arial" w:hAnsi="Arial" w:cs="Arial"/>
          <w:b/>
          <w:bCs/>
          <w:color w:val="222222"/>
          <w:sz w:val="22"/>
          <w:szCs w:val="22"/>
        </w:rPr>
        <w:t> skupine Faun:</w:t>
      </w:r>
    </w:p>
    <w:p w14:paraId="67C944C6" w14:textId="5553F1C5" w:rsidR="00565687" w:rsidRDefault="00565687" w:rsidP="00D42F74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Skupina Faun je výrobcom vozidiel, ktorý zamestnáva viac ako 2 000 ľudí po celom svete. Ako jeden z popredných európskych dodávateľov vozidiel na zvoz odpadu, zametačov a úžitkových vozidiel na vodíkový pohon prevádzkuje dvanásť závodov v siedmich krajinách. Skupina Faun sídli v </w:t>
      </w:r>
      <w:proofErr w:type="spellStart"/>
      <w:r>
        <w:rPr>
          <w:rFonts w:ascii="Helvetica" w:hAnsi="Helvetica" w:cs="Helvetica"/>
          <w:color w:val="222222"/>
        </w:rPr>
        <w:t>dolnosaskom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Osterholz-Scharmbecku</w:t>
      </w:r>
      <w:proofErr w:type="spellEnd"/>
      <w:r>
        <w:rPr>
          <w:rFonts w:ascii="Helvetica" w:hAnsi="Helvetica" w:cs="Helvetica"/>
          <w:color w:val="222222"/>
        </w:rPr>
        <w:t xml:space="preserve"> a predchádzajúci finančný rok uzavrela s obratom 500 miliónov EUR.</w:t>
      </w:r>
    </w:p>
    <w:p w14:paraId="106F07D5" w14:textId="0E8C3420" w:rsidR="00565687" w:rsidRDefault="00565687" w:rsidP="00D42F74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33B85684" w14:textId="735BD974" w:rsidR="00565687" w:rsidRDefault="00565687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lastRenderedPageBreak/>
        <w:t>Enginius</w:t>
      </w:r>
      <w:proofErr w:type="spellEnd"/>
      <w:r>
        <w:rPr>
          <w:rFonts w:ascii="Helvetica" w:hAnsi="Helvetica" w:cs="Helvetica"/>
          <w:color w:val="222222"/>
        </w:rPr>
        <w:t xml:space="preserve">, nová značka skupiny Faun, razí cestu nákladnej doprave s nulovými emisiami vďaka systému </w:t>
      </w:r>
      <w:proofErr w:type="spellStart"/>
      <w:r>
        <w:rPr>
          <w:rFonts w:ascii="Helvetica" w:hAnsi="Helvetica" w:cs="Helvetica"/>
          <w:color w:val="222222"/>
        </w:rPr>
        <w:t>Bluepower</w:t>
      </w:r>
      <w:proofErr w:type="spellEnd"/>
      <w:r>
        <w:rPr>
          <w:rFonts w:ascii="Helvetica" w:hAnsi="Helvetica" w:cs="Helvetica"/>
          <w:color w:val="222222"/>
        </w:rPr>
        <w:t>. </w:t>
      </w:r>
      <w:hyperlink r:id="rId9" w:history="1">
        <w:r>
          <w:rPr>
            <w:rStyle w:val="Hypertextovodkaz"/>
            <w:rFonts w:ascii="Helvetica" w:eastAsiaTheme="majorEastAsia" w:hAnsi="Helvetica" w:cs="Helvetica"/>
            <w:color w:val="1A3682"/>
          </w:rPr>
          <w:t>https://www.enginius.de/</w:t>
        </w:r>
      </w:hyperlink>
    </w:p>
    <w:p w14:paraId="7603D62F" w14:textId="77777777" w:rsidR="00565687" w:rsidRDefault="00565687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10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2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5D28" w14:textId="77777777" w:rsidR="004E6B59" w:rsidRDefault="004E6B59" w:rsidP="007F4C70">
      <w:pPr>
        <w:spacing w:after="0" w:line="240" w:lineRule="auto"/>
      </w:pPr>
      <w:r>
        <w:separator/>
      </w:r>
    </w:p>
    <w:p w14:paraId="53AC77A2" w14:textId="77777777" w:rsidR="004E6B59" w:rsidRDefault="004E6B59"/>
    <w:p w14:paraId="1A767338" w14:textId="77777777" w:rsidR="004E6B59" w:rsidRDefault="004E6B59"/>
    <w:p w14:paraId="4D2EFE5D" w14:textId="77777777" w:rsidR="004E6B59" w:rsidRDefault="004E6B59"/>
  </w:endnote>
  <w:endnote w:type="continuationSeparator" w:id="0">
    <w:p w14:paraId="3C9CADBA" w14:textId="77777777" w:rsidR="004E6B59" w:rsidRDefault="004E6B59" w:rsidP="007F4C70">
      <w:pPr>
        <w:spacing w:after="0" w:line="240" w:lineRule="auto"/>
      </w:pPr>
      <w:r>
        <w:continuationSeparator/>
      </w:r>
    </w:p>
    <w:p w14:paraId="61C18B11" w14:textId="77777777" w:rsidR="004E6B59" w:rsidRDefault="004E6B59"/>
    <w:p w14:paraId="5900E47D" w14:textId="77777777" w:rsidR="004E6B59" w:rsidRDefault="004E6B59"/>
    <w:p w14:paraId="124A7D09" w14:textId="77777777" w:rsidR="004E6B59" w:rsidRDefault="004E6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A6E9" w14:textId="77777777" w:rsidR="004E6B59" w:rsidRDefault="004E6B59" w:rsidP="007F4C70">
      <w:pPr>
        <w:spacing w:after="0" w:line="240" w:lineRule="auto"/>
      </w:pPr>
      <w:r>
        <w:separator/>
      </w:r>
    </w:p>
    <w:p w14:paraId="46CA3CBE" w14:textId="77777777" w:rsidR="004E6B59" w:rsidRDefault="004E6B59"/>
    <w:p w14:paraId="578927DA" w14:textId="77777777" w:rsidR="004E6B59" w:rsidRDefault="004E6B59"/>
    <w:p w14:paraId="43CAC670" w14:textId="77777777" w:rsidR="004E6B59" w:rsidRDefault="004E6B59"/>
  </w:footnote>
  <w:footnote w:type="continuationSeparator" w:id="0">
    <w:p w14:paraId="03E41641" w14:textId="77777777" w:rsidR="004E6B59" w:rsidRDefault="004E6B59" w:rsidP="007F4C70">
      <w:pPr>
        <w:spacing w:after="0" w:line="240" w:lineRule="auto"/>
      </w:pPr>
      <w:r>
        <w:continuationSeparator/>
      </w:r>
    </w:p>
    <w:p w14:paraId="60366067" w14:textId="77777777" w:rsidR="004E6B59" w:rsidRDefault="004E6B59"/>
    <w:p w14:paraId="211D3061" w14:textId="77777777" w:rsidR="004E6B59" w:rsidRDefault="004E6B59"/>
    <w:p w14:paraId="77D5AE5C" w14:textId="77777777" w:rsidR="004E6B59" w:rsidRDefault="004E6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6009AB"/>
    <w:rsid w:val="00626451"/>
    <w:rsid w:val="00627460"/>
    <w:rsid w:val="0063061B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32A22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C6257"/>
    <w:rsid w:val="00BD07B8"/>
    <w:rsid w:val="00BD4016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42F74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2greenpowerlog.d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stiglinc@dachse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ka.palfiova@gmail.com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achse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inius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1</TotalTime>
  <Pages>4</Pages>
  <Words>980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Gabriela Hampejsová</cp:lastModifiedBy>
  <cp:revision>2</cp:revision>
  <cp:lastPrinted>2017-09-29T11:15:00Z</cp:lastPrinted>
  <dcterms:created xsi:type="dcterms:W3CDTF">2022-08-15T11:53:00Z</dcterms:created>
  <dcterms:modified xsi:type="dcterms:W3CDTF">2022-08-15T11:53:00Z</dcterms:modified>
</cp:coreProperties>
</file>